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CA64" w14:textId="1AE783DC" w:rsidR="008F76F3" w:rsidRPr="008F76F3" w:rsidRDefault="008F76F3" w:rsidP="007F065B">
      <w:pPr>
        <w:shd w:val="clear" w:color="auto" w:fill="F2F2F2" w:themeFill="background1" w:themeFillShade="F2"/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8F76F3">
        <w:rPr>
          <w:rFonts w:cs="Tahoma"/>
          <w:b/>
          <w:sz w:val="24"/>
          <w:szCs w:val="24"/>
        </w:rPr>
        <w:t>ESTUDO TÉCNICO PRELIMINAR</w:t>
      </w:r>
    </w:p>
    <w:p w14:paraId="1C9A8B45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0D68AE69" w14:textId="77777777" w:rsidTr="007F065B">
        <w:tc>
          <w:tcPr>
            <w:tcW w:w="10201" w:type="dxa"/>
          </w:tcPr>
          <w:p w14:paraId="1CA8A904" w14:textId="14FB181D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8F76F3">
              <w:rPr>
                <w:rFonts w:cs="Tahoma"/>
                <w:sz w:val="16"/>
                <w:szCs w:val="16"/>
              </w:rPr>
              <w:t xml:space="preserve">Secretaria Municipal </w:t>
            </w:r>
            <w:r w:rsidR="00F732D3" w:rsidRPr="00F732D3">
              <w:rPr>
                <w:rFonts w:cs="Tahoma"/>
                <w:sz w:val="16"/>
                <w:szCs w:val="16"/>
              </w:rPr>
              <w:t>de Obras e Mobilidade Urbana</w:t>
            </w:r>
          </w:p>
        </w:tc>
      </w:tr>
      <w:tr w:rsidR="008F76F3" w:rsidRPr="008F76F3" w14:paraId="5EBF3E6C" w14:textId="77777777" w:rsidTr="007F065B">
        <w:tc>
          <w:tcPr>
            <w:tcW w:w="10201" w:type="dxa"/>
            <w:tcBorders>
              <w:bottom w:val="single" w:sz="4" w:space="0" w:color="auto"/>
            </w:tcBorders>
          </w:tcPr>
          <w:p w14:paraId="506C1DC7" w14:textId="03E0DF99" w:rsidR="008F76F3" w:rsidRPr="00F732D3" w:rsidRDefault="008F76F3" w:rsidP="008F76F3">
            <w:pPr>
              <w:spacing w:line="276" w:lineRule="auto"/>
              <w:rPr>
                <w:rFonts w:cs="Tahoma"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F732D3" w:rsidRPr="00F732D3">
              <w:rPr>
                <w:rFonts w:cs="Tahoma"/>
                <w:bCs/>
                <w:sz w:val="16"/>
                <w:szCs w:val="16"/>
              </w:rPr>
              <w:t xml:space="preserve">Fabiano </w:t>
            </w:r>
            <w:proofErr w:type="spellStart"/>
            <w:r w:rsidR="00F732D3" w:rsidRPr="00F732D3">
              <w:rPr>
                <w:rFonts w:cs="Tahoma"/>
                <w:bCs/>
                <w:sz w:val="16"/>
                <w:szCs w:val="16"/>
              </w:rPr>
              <w:t>Acadroli</w:t>
            </w:r>
            <w:proofErr w:type="spellEnd"/>
          </w:p>
        </w:tc>
      </w:tr>
      <w:tr w:rsidR="008F76F3" w:rsidRPr="008F76F3" w14:paraId="58FCAF88" w14:textId="77777777" w:rsidTr="007F065B">
        <w:tc>
          <w:tcPr>
            <w:tcW w:w="10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8F76F3" w14:paraId="3DD24274" w14:textId="77777777" w:rsidTr="007F065B">
        <w:tc>
          <w:tcPr>
            <w:tcW w:w="10201" w:type="dxa"/>
            <w:tcBorders>
              <w:top w:val="single" w:sz="4" w:space="0" w:color="auto"/>
            </w:tcBorders>
          </w:tcPr>
          <w:p w14:paraId="1BF269D1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1 - DESCRIÇÃO DA NECESSIDADE</w:t>
            </w:r>
          </w:p>
        </w:tc>
      </w:tr>
      <w:tr w:rsidR="008F76F3" w:rsidRPr="008F76F3" w14:paraId="7549A9A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64C399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8F76F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8F76F3" w14:paraId="20066B50" w14:textId="77777777" w:rsidTr="007F065B">
        <w:tc>
          <w:tcPr>
            <w:tcW w:w="10201" w:type="dxa"/>
          </w:tcPr>
          <w:p w14:paraId="1ED1AC8F" w14:textId="5E154429" w:rsidR="009865D8" w:rsidRDefault="00FE5DE0" w:rsidP="00FF3466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Pavimentação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Asfáltica da Rua </w:t>
            </w:r>
            <w:r w:rsidRPr="00860FFD">
              <w:rPr>
                <w:rFonts w:eastAsia="Times New Roman" w:cs="Tahoma"/>
                <w:sz w:val="16"/>
                <w:szCs w:val="16"/>
                <w:lang w:eastAsia="pt-BR"/>
              </w:rPr>
              <w:t>Telmo Lutterbeck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, com área de </w:t>
            </w:r>
            <w:r w:rsidRPr="00860FFD">
              <w:rPr>
                <w:rFonts w:eastAsia="Times New Roman" w:cs="Tahoma"/>
                <w:sz w:val="16"/>
                <w:szCs w:val="16"/>
                <w:lang w:eastAsia="pt-BR"/>
              </w:rPr>
              <w:t>1.155,00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m</w:t>
            </w:r>
            <w:r w:rsidRPr="00370850">
              <w:rPr>
                <w:rFonts w:eastAsia="Times New Roman" w:cs="Tahoma"/>
                <w:sz w:val="16"/>
                <w:szCs w:val="16"/>
                <w:lang w:eastAsia="pt-BR"/>
              </w:rPr>
              <w:t>²</w:t>
            </w:r>
            <w:r w:rsidR="000239C2">
              <w:rPr>
                <w:rFonts w:eastAsia="Times New Roman" w:cs="Tahoma"/>
                <w:sz w:val="16"/>
                <w:szCs w:val="16"/>
                <w:lang w:eastAsia="pt-BR"/>
              </w:rPr>
              <w:t xml:space="preserve">. </w:t>
            </w:r>
            <w:r w:rsidR="00FF3466"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É dever da gestão municipal manter a estrutura pública em boas condições de</w:t>
            </w:r>
            <w:r w:rsid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FF3466"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conservação, funcionamento e condizente com as demandas da atualidade. Para isso é</w:t>
            </w:r>
            <w:r w:rsid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FF3466"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necessária a adoção de ações de modernização e melhoramento da estrutura viária do</w:t>
            </w:r>
            <w:r w:rsid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FF3466"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município visando proporcionar uma qualidade de vida cada dia melhor para atender a</w:t>
            </w:r>
            <w:r w:rsid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FF3466"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sociedade usuária. </w:t>
            </w:r>
          </w:p>
          <w:p w14:paraId="25FE18B4" w14:textId="6189D9B1" w:rsidR="008F76F3" w:rsidRPr="00F732D3" w:rsidRDefault="009865D8" w:rsidP="00FF3466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Assim sendo, o</w:t>
            </w:r>
            <w:r w:rsidR="00F732D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objetivo de tal contratação é o da melhoria da infraestrutura rodoviária no território do município de Imigrante, com a finalidade de proporcionar conforto e segurança para os usuários e consequentemente incentivar o desenvolvimento turístico do município.</w:t>
            </w:r>
          </w:p>
        </w:tc>
      </w:tr>
    </w:tbl>
    <w:p w14:paraId="314F9F33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BB79560" w14:textId="77777777" w:rsidTr="007F065B">
        <w:tc>
          <w:tcPr>
            <w:tcW w:w="10201" w:type="dxa"/>
          </w:tcPr>
          <w:p w14:paraId="569B37C6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2 – PREVISÃO NO PLANO DE CONTRATAÇÕES ANUAL</w:t>
            </w:r>
          </w:p>
        </w:tc>
      </w:tr>
      <w:tr w:rsidR="008F76F3" w:rsidRPr="008F76F3" w14:paraId="7498D87B" w14:textId="77777777" w:rsidTr="004B2353">
        <w:tc>
          <w:tcPr>
            <w:tcW w:w="102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EA53AC" w14:textId="77777777" w:rsidR="008F76F3" w:rsidRPr="008F76F3" w:rsidRDefault="008F76F3" w:rsidP="00251A32">
            <w:pPr>
              <w:pStyle w:val="Default"/>
              <w:spacing w:line="276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8F76F3">
              <w:rPr>
                <w:rFonts w:ascii="Tahoma" w:eastAsia="Times New Roman" w:hAnsi="Tahoma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ascii="Tahoma" w:hAnsi="Tahoma"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8F76F3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 xml:space="preserve">(inciso II do § 1° do art. 18 da Lei 14.133/21); </w:t>
            </w:r>
          </w:p>
        </w:tc>
      </w:tr>
    </w:tbl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6677"/>
        <w:gridCol w:w="978"/>
        <w:gridCol w:w="1842"/>
      </w:tblGrid>
      <w:tr w:rsidR="004B2353" w:rsidRPr="004B2353" w14:paraId="7E6F4DC1" w14:textId="77777777" w:rsidTr="004B2353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6523" w14:textId="77777777" w:rsidR="004B2353" w:rsidRPr="004B2353" w:rsidRDefault="004B2353" w:rsidP="004B2353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B2353">
              <w:rPr>
                <w:rFonts w:eastAsia="Times New Roman" w:cs="Tahoma"/>
                <w:sz w:val="16"/>
                <w:szCs w:val="16"/>
                <w:lang w:eastAsia="pt-BR"/>
              </w:rPr>
              <w:t>SMOMU</w:t>
            </w:r>
          </w:p>
        </w:tc>
        <w:tc>
          <w:tcPr>
            <w:tcW w:w="6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D281" w14:textId="77777777" w:rsidR="004B2353" w:rsidRPr="004B2353" w:rsidRDefault="004B2353" w:rsidP="004B2353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B2353">
              <w:rPr>
                <w:rFonts w:eastAsia="Times New Roman" w:cs="Tahoma"/>
                <w:sz w:val="16"/>
                <w:szCs w:val="16"/>
                <w:lang w:eastAsia="pt-BR"/>
              </w:rPr>
              <w:t>Contratação de empresa para pavimentação asfáltica em trechos do Município de Imigrante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B8A8" w14:textId="77777777" w:rsidR="004B2353" w:rsidRPr="004B2353" w:rsidRDefault="004B2353" w:rsidP="004B2353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B2353">
              <w:rPr>
                <w:rFonts w:eastAsia="Times New Roman" w:cs="Tahoma"/>
                <w:sz w:val="16"/>
                <w:szCs w:val="16"/>
                <w:lang w:eastAsia="pt-BR"/>
              </w:rPr>
              <w:t>15/08/25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ECE2" w14:textId="77777777" w:rsidR="004B2353" w:rsidRPr="004B2353" w:rsidRDefault="004B2353" w:rsidP="004B2353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4B2353">
              <w:rPr>
                <w:rFonts w:eastAsia="Times New Roman" w:cs="Tahoma"/>
                <w:sz w:val="16"/>
                <w:szCs w:val="16"/>
                <w:lang w:eastAsia="pt-BR"/>
              </w:rPr>
              <w:t>R$ 3.000.000,00</w:t>
            </w:r>
          </w:p>
        </w:tc>
      </w:tr>
    </w:tbl>
    <w:p w14:paraId="19919687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55D9A9F" w14:textId="77777777" w:rsidTr="007F065B">
        <w:tc>
          <w:tcPr>
            <w:tcW w:w="10201" w:type="dxa"/>
          </w:tcPr>
          <w:p w14:paraId="01487FDB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3 – REQUISITOS DA CONTRATAÇÃO</w:t>
            </w:r>
          </w:p>
        </w:tc>
      </w:tr>
      <w:tr w:rsidR="008F76F3" w:rsidRPr="008F76F3" w14:paraId="71E721F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0301AA1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8F76F3" w14:paraId="23A4E659" w14:textId="77777777" w:rsidTr="007F065B">
        <w:tc>
          <w:tcPr>
            <w:tcW w:w="10201" w:type="dxa"/>
          </w:tcPr>
          <w:p w14:paraId="5C50CA0C" w14:textId="2264251F" w:rsidR="00291F02" w:rsidRDefault="0015778E" w:rsidP="0015778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15778E">
              <w:rPr>
                <w:rFonts w:cs="Tahoma"/>
                <w:sz w:val="16"/>
                <w:szCs w:val="16"/>
              </w:rPr>
              <w:t>A contratação a que se refere este termo é classificada com uma obra de engenharia,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15778E">
              <w:rPr>
                <w:rFonts w:cs="Tahoma"/>
                <w:sz w:val="16"/>
                <w:szCs w:val="16"/>
              </w:rPr>
              <w:t>sendo que sua contratação ser dará por meio de processo licitatório, na modalidade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15778E">
              <w:rPr>
                <w:rFonts w:cs="Tahoma"/>
                <w:sz w:val="16"/>
                <w:szCs w:val="16"/>
              </w:rPr>
              <w:t>Concorrência Eletrônica, sob regime de empreitada por menor preço global.</w:t>
            </w:r>
          </w:p>
          <w:p w14:paraId="6EEBBDE4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O contratado deverá: </w:t>
            </w:r>
          </w:p>
          <w:p w14:paraId="64E0CBC9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▪ Possuir ramo de atividade compatível com o objeto;</w:t>
            </w:r>
          </w:p>
          <w:p w14:paraId="1EF6D6E2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Possuir responsável técnico, registrado no Conselho Regional de Engenharia e Agronomia do Rio Grande do Sul (CREA/RS) ou Conselho de Arquitetura e Urbanismo (CAU/RS); </w:t>
            </w:r>
          </w:p>
          <w:p w14:paraId="7E9E4F0D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Comprovante de registro vigente da empresa no Conselho Regional de Engenharia e Agronomia (CREA) ou Conselho de Arquitetura e Urbanismo (CAU); </w:t>
            </w:r>
          </w:p>
          <w:p w14:paraId="1A4B9358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Apresentar as certidões negativas exigidas na Lei 14.133/21; </w:t>
            </w:r>
          </w:p>
          <w:p w14:paraId="606066EA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A contratada juntamente com o Responsável Técnico, deverá emitir Anotação de Responsabilidade Técnica (ART) ou Registro de Responsabilidade Técnica (RRT) de execução da obra. </w:t>
            </w:r>
          </w:p>
          <w:p w14:paraId="6D5917F1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A contratada deverá emitir a Certidão Negativa de Obra (CNO). </w:t>
            </w:r>
          </w:p>
          <w:p w14:paraId="0DF858D6" w14:textId="6CC2DFF8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Comprovação de Capacidade Técnico-Operacional, mediante apresentação de, no mínimo 1 (um) atestado fornecido por pessoa jurídica direito público ou privado, para comprovação de que a empresa licitante executou serviços de complexidade equivalente ou compatível ao objeto dessa licitação, com no mínimo 50% do item de maior relevância, compreendendo </w:t>
            </w:r>
            <w:r w:rsidR="00FE5DE0">
              <w:rPr>
                <w:rFonts w:cs="Tahoma"/>
                <w:sz w:val="16"/>
                <w:szCs w:val="16"/>
              </w:rPr>
              <w:t>16,5</w:t>
            </w:r>
            <w:r w:rsidRPr="008229C5">
              <w:rPr>
                <w:rFonts w:cs="Tahoma"/>
                <w:sz w:val="16"/>
                <w:szCs w:val="16"/>
              </w:rPr>
              <w:t xml:space="preserve"> m³ - pavimentação asfáltica – CBUQ;</w:t>
            </w:r>
          </w:p>
          <w:p w14:paraId="65B4FCE7" w14:textId="77777777" w:rsidR="0015778E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▪ Comprovação de Capacidade Técnico-Profissional, mediante apresentação de, no mínimo, 1 (um) atestado fornecido por pessoa jurídica de direito público ou privado, visado pela entidade profissional competente, acompanhado da Certidão de Acervo Técnico (CAT) da mesma entidade de origem da ART – Anotação de Responsabilidade Técnica ou RRT – Registro de Responsabilidade Técnica para comprovação de que o seu Responsável Técnico executou serviços de complexidade equivalente ou compatível ao objeto dessa licitação.</w:t>
            </w:r>
          </w:p>
          <w:p w14:paraId="7E4B2729" w14:textId="0F1B3D6F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A empresa CONTRATADA deverá possuir o total conhecimento dos projetos básicos e complementares, detalhes construtivos, normas de trabalho e demais documentaç</w:t>
            </w:r>
            <w:r w:rsidR="00291F02">
              <w:rPr>
                <w:rFonts w:cs="Tahoma"/>
                <w:sz w:val="16"/>
                <w:szCs w:val="16"/>
              </w:rPr>
              <w:t>ões</w:t>
            </w:r>
            <w:r w:rsidRPr="008229C5">
              <w:rPr>
                <w:rFonts w:cs="Tahoma"/>
                <w:sz w:val="16"/>
                <w:szCs w:val="16"/>
              </w:rPr>
              <w:t xml:space="preserve"> técnica</w:t>
            </w:r>
            <w:r w:rsidR="00291F02">
              <w:rPr>
                <w:rFonts w:cs="Tahoma"/>
                <w:sz w:val="16"/>
                <w:szCs w:val="16"/>
              </w:rPr>
              <w:t>s</w:t>
            </w:r>
            <w:r w:rsidRPr="008229C5">
              <w:rPr>
                <w:rFonts w:cs="Tahoma"/>
                <w:sz w:val="16"/>
                <w:szCs w:val="16"/>
              </w:rPr>
              <w:t xml:space="preserve"> que </w:t>
            </w:r>
            <w:r w:rsidR="00291F02">
              <w:rPr>
                <w:rFonts w:cs="Tahoma"/>
                <w:sz w:val="16"/>
                <w:szCs w:val="16"/>
              </w:rPr>
              <w:t>integrantes</w:t>
            </w:r>
            <w:r w:rsidRPr="008229C5">
              <w:rPr>
                <w:rFonts w:cs="Tahoma"/>
                <w:sz w:val="16"/>
                <w:szCs w:val="16"/>
              </w:rPr>
              <w:t xml:space="preserve"> </w:t>
            </w:r>
            <w:r w:rsidR="00291F02">
              <w:rPr>
                <w:rFonts w:cs="Tahoma"/>
                <w:sz w:val="16"/>
                <w:szCs w:val="16"/>
              </w:rPr>
              <w:t>d</w:t>
            </w:r>
            <w:r w:rsidRPr="008229C5">
              <w:rPr>
                <w:rFonts w:cs="Tahoma"/>
                <w:sz w:val="16"/>
                <w:szCs w:val="16"/>
              </w:rPr>
              <w:t>os mesmos, inclusive, deve também providenciar cópias físicas, às suas custas, dos documentos/plantas necessários para sua utilização em obra</w:t>
            </w:r>
            <w:r w:rsidR="00FE5DE0">
              <w:rPr>
                <w:rFonts w:cs="Tahoma"/>
                <w:sz w:val="16"/>
                <w:szCs w:val="16"/>
              </w:rPr>
              <w:t>.</w:t>
            </w:r>
          </w:p>
          <w:p w14:paraId="4B0F43B2" w14:textId="4C6CDE2B" w:rsidR="008229C5" w:rsidRPr="008F76F3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Executar todos os serviços de acordo com o Edital, a Proposta Final, as normas da ABNT aplicáveis e as especificações técnicas constantes nos documentos inerentes a este certame, anexos, projetos, memorial descritivo, cronograma físico financeiro e demais documentações, como se aqui estivessem integrais e expressamente reproduzidos, dando andamento aos serviços de modo a permitir que sejam cumpridos, rigorosa e integralmente, o cronograma e o prazo de entrega da obra</w:t>
            </w:r>
            <w:r w:rsidR="00FE5DE0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0825A047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  <w:r w:rsidRPr="008F76F3"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77F24F0B" w14:textId="77777777" w:rsidTr="007F065B">
        <w:tc>
          <w:tcPr>
            <w:tcW w:w="10201" w:type="dxa"/>
          </w:tcPr>
          <w:p w14:paraId="2682834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</w:pPr>
            <w:r w:rsidRPr="0003791A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4 – ESTIMATIVA DAS QUANTIDADES</w:t>
            </w:r>
          </w:p>
        </w:tc>
      </w:tr>
      <w:tr w:rsidR="008F76F3" w:rsidRPr="008F76F3" w14:paraId="1D789878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25CF518F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8F76F3" w14:paraId="47CF1596" w14:textId="77777777" w:rsidTr="007F065B">
        <w:trPr>
          <w:trHeight w:val="249"/>
        </w:trPr>
        <w:tc>
          <w:tcPr>
            <w:tcW w:w="10201" w:type="dxa"/>
          </w:tcPr>
          <w:p w14:paraId="0F2CE162" w14:textId="053B7BB6" w:rsidR="008F76F3" w:rsidRPr="008F76F3" w:rsidRDefault="0003791A" w:rsidP="0003791A">
            <w:pPr>
              <w:spacing w:line="276" w:lineRule="auto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0379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Todas as quantidades de materiais e serviços foram apuradas conforme o “Memorial</w:t>
            </w: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Pr="000379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Descritivo” e “Planilha Orçamentária”, que são partes integrantes do Projeto</w:t>
            </w: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Pr="000379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Básico/Executivo, e que contém todas as referências e detalhamentos considerados em</w:t>
            </w: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Pr="000379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sua elaboração.</w:t>
            </w:r>
          </w:p>
        </w:tc>
      </w:tr>
    </w:tbl>
    <w:p w14:paraId="6E7C030A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21089FAE" w14:textId="77777777" w:rsidTr="007F065B">
        <w:tc>
          <w:tcPr>
            <w:tcW w:w="10201" w:type="dxa"/>
          </w:tcPr>
          <w:p w14:paraId="268D97E3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5 – LEVANTAMENTO DE MERCADO</w:t>
            </w:r>
          </w:p>
        </w:tc>
      </w:tr>
      <w:tr w:rsidR="008F76F3" w:rsidRPr="008F76F3" w14:paraId="2B9D2A83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2A33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Levantamento de mercado, que consiste na análise das alternativas possíveis, e justificativa técnica e econômica da escolha do tipo de solução a contratar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V do § 1° do art. 18 da Lei 14.133/2021); </w:t>
            </w:r>
          </w:p>
        </w:tc>
      </w:tr>
      <w:tr w:rsidR="008F76F3" w:rsidRPr="008F76F3" w14:paraId="60E2412E" w14:textId="77777777" w:rsidTr="007F065B">
        <w:tc>
          <w:tcPr>
            <w:tcW w:w="10201" w:type="dxa"/>
          </w:tcPr>
          <w:p w14:paraId="4774A4C7" w14:textId="6CAA31E7" w:rsidR="008F76F3" w:rsidRPr="008F76F3" w:rsidRDefault="0003791A" w:rsidP="0003791A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03791A">
              <w:rPr>
                <w:rFonts w:cs="Tahoma"/>
                <w:sz w:val="16"/>
                <w:szCs w:val="16"/>
              </w:rPr>
              <w:t>Conforme previsto na Lei Federal n. 14.133/2021, Art. 23, § 2º, foi utilizada, para aferição do valor estimado da licitação, a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03791A">
              <w:rPr>
                <w:rFonts w:cs="Tahoma"/>
                <w:sz w:val="16"/>
                <w:szCs w:val="16"/>
              </w:rPr>
              <w:t xml:space="preserve">Tabela de Custos SINAPI, tendo como mês de referência </w:t>
            </w:r>
            <w:r w:rsidR="00FE5DE0">
              <w:rPr>
                <w:rFonts w:cs="Tahoma"/>
                <w:sz w:val="16"/>
                <w:szCs w:val="16"/>
              </w:rPr>
              <w:t>agosto</w:t>
            </w:r>
            <w:r w:rsidRPr="0003791A">
              <w:rPr>
                <w:rFonts w:cs="Tahoma"/>
                <w:sz w:val="16"/>
                <w:szCs w:val="16"/>
              </w:rPr>
              <w:t xml:space="preserve"> de 2024</w:t>
            </w:r>
            <w:r>
              <w:rPr>
                <w:rFonts w:cs="Tahoma"/>
                <w:sz w:val="16"/>
                <w:szCs w:val="16"/>
              </w:rPr>
              <w:t xml:space="preserve">, e a tabela SICRO, tendo como mês de referência </w:t>
            </w:r>
            <w:r w:rsidR="00FE5DE0">
              <w:rPr>
                <w:rFonts w:cs="Tahoma"/>
                <w:sz w:val="16"/>
                <w:szCs w:val="16"/>
              </w:rPr>
              <w:t>abril</w:t>
            </w:r>
            <w:r>
              <w:rPr>
                <w:rFonts w:cs="Tahoma"/>
                <w:sz w:val="16"/>
                <w:szCs w:val="16"/>
              </w:rPr>
              <w:t xml:space="preserve"> de 2024.</w:t>
            </w:r>
          </w:p>
        </w:tc>
      </w:tr>
    </w:tbl>
    <w:p w14:paraId="62EB6836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EE56F1B" w14:textId="77777777" w:rsidTr="007F065B">
        <w:tc>
          <w:tcPr>
            <w:tcW w:w="10201" w:type="dxa"/>
          </w:tcPr>
          <w:p w14:paraId="7C09CC0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6 – ESTIMATIVA DO VALOR DA CONTRATAÇÃO</w:t>
            </w:r>
          </w:p>
        </w:tc>
      </w:tr>
      <w:tr w:rsidR="008F76F3" w:rsidRPr="008F76F3" w14:paraId="64A3B4E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41FC5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lastRenderedPageBreak/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8F76F3" w14:paraId="42BE0386" w14:textId="77777777" w:rsidTr="007F065B">
        <w:tc>
          <w:tcPr>
            <w:tcW w:w="10201" w:type="dxa"/>
          </w:tcPr>
          <w:p w14:paraId="77604182" w14:textId="04DA4533" w:rsidR="008F76F3" w:rsidRPr="008F76F3" w:rsidRDefault="000239C2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A estimativa de valor da contratação é de </w:t>
            </w:r>
            <w:r w:rsidR="00FE5DE0">
              <w:rPr>
                <w:sz w:val="16"/>
                <w:szCs w:val="16"/>
              </w:rPr>
              <w:t>R$ 493.498,95 (quatrocentos e noventa e três mil, quatrocentos e noventa e oito reais e noventa e cinco centavos)</w:t>
            </w:r>
            <w:r>
              <w:rPr>
                <w:rFonts w:cs="Tahoma"/>
                <w:sz w:val="16"/>
                <w:szCs w:val="16"/>
              </w:rPr>
              <w:t>, com base no sistema SINAPI e tabela SICRO.</w:t>
            </w:r>
          </w:p>
        </w:tc>
      </w:tr>
    </w:tbl>
    <w:p w14:paraId="0E9A09B8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9783D2D" w14:textId="77777777" w:rsidTr="007F065B">
        <w:tc>
          <w:tcPr>
            <w:tcW w:w="10201" w:type="dxa"/>
          </w:tcPr>
          <w:p w14:paraId="467389BF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bCs/>
                <w:sz w:val="16"/>
                <w:szCs w:val="16"/>
              </w:rPr>
              <w:t>7 - DESCRIÇÃO DA SOLUÇÃO COMO UM TODO</w:t>
            </w:r>
          </w:p>
        </w:tc>
      </w:tr>
      <w:tr w:rsidR="008F76F3" w:rsidRPr="008F76F3" w14:paraId="629A6FF1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4CFCA8D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8F76F3" w14:paraId="03FF8AC2" w14:textId="77777777" w:rsidTr="007F065B">
        <w:tc>
          <w:tcPr>
            <w:tcW w:w="10201" w:type="dxa"/>
          </w:tcPr>
          <w:p w14:paraId="332335E9" w14:textId="39024451" w:rsidR="008F76F3" w:rsidRDefault="006E3145" w:rsidP="006E314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6E3145">
              <w:rPr>
                <w:rFonts w:cs="Tahoma"/>
                <w:sz w:val="16"/>
                <w:szCs w:val="16"/>
              </w:rPr>
              <w:t>A solução proposta para o pleno atendimento das necessidades identificadas é a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="00B862D0">
              <w:rPr>
                <w:rFonts w:cs="Tahoma"/>
                <w:sz w:val="16"/>
                <w:szCs w:val="16"/>
              </w:rPr>
              <w:t>c</w:t>
            </w:r>
            <w:r w:rsidRPr="006E3145">
              <w:rPr>
                <w:rFonts w:cs="Tahoma"/>
                <w:sz w:val="16"/>
                <w:szCs w:val="16"/>
              </w:rPr>
              <w:t>ontratação de empresa especializada, sob o regime de empreitada por preço global,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 xml:space="preserve">para </w:t>
            </w:r>
            <w:r>
              <w:rPr>
                <w:rFonts w:cs="Tahoma"/>
                <w:sz w:val="16"/>
                <w:szCs w:val="16"/>
              </w:rPr>
              <w:t>a execução da</w:t>
            </w:r>
            <w:r w:rsidRPr="006E3145">
              <w:rPr>
                <w:rFonts w:cs="Tahoma"/>
                <w:sz w:val="16"/>
                <w:szCs w:val="16"/>
              </w:rPr>
              <w:t xml:space="preserve"> </w:t>
            </w:r>
            <w:r>
              <w:rPr>
                <w:rFonts w:cs="Tahoma"/>
                <w:sz w:val="16"/>
                <w:szCs w:val="16"/>
              </w:rPr>
              <w:t>o</w:t>
            </w:r>
            <w:r w:rsidRPr="006E3145">
              <w:rPr>
                <w:rFonts w:cs="Tahoma"/>
                <w:sz w:val="16"/>
                <w:szCs w:val="16"/>
              </w:rPr>
              <w:t xml:space="preserve">bra </w:t>
            </w:r>
            <w:r>
              <w:rPr>
                <w:rFonts w:cs="Tahoma"/>
                <w:sz w:val="16"/>
                <w:szCs w:val="16"/>
              </w:rPr>
              <w:t xml:space="preserve">de </w:t>
            </w:r>
            <w:r w:rsidR="00FE5DE0" w:rsidRPr="00FE5DE0">
              <w:rPr>
                <w:rFonts w:eastAsia="Times New Roman" w:cs="Tahoma"/>
                <w:sz w:val="16"/>
                <w:szCs w:val="16"/>
                <w:lang w:eastAsia="pt-BR"/>
              </w:rPr>
              <w:t>Pavimentação Asfáltica da Rua Telmo Lutterbeck, com área de 1.155,00 m</w:t>
            </w:r>
            <w:r w:rsidR="00FE5DE0">
              <w:rPr>
                <w:rFonts w:eastAsia="Times New Roman" w:cs="Tahoma"/>
                <w:sz w:val="16"/>
                <w:szCs w:val="16"/>
                <w:lang w:eastAsia="pt-BR"/>
              </w:rPr>
              <w:t>²,</w:t>
            </w:r>
            <w:r w:rsidR="00FE5DE0" w:rsidRPr="00FE5DE0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>
              <w:rPr>
                <w:rFonts w:cs="Tahoma"/>
                <w:sz w:val="16"/>
                <w:szCs w:val="16"/>
              </w:rPr>
              <w:t>com</w:t>
            </w:r>
            <w:r w:rsidRPr="006E3145">
              <w:rPr>
                <w:rFonts w:cs="Tahoma"/>
                <w:sz w:val="16"/>
                <w:szCs w:val="16"/>
              </w:rPr>
              <w:t xml:space="preserve"> fornecimento de todo o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>material e mão de obra.</w:t>
            </w:r>
          </w:p>
          <w:p w14:paraId="43F74052" w14:textId="558B7E22" w:rsidR="006E3145" w:rsidRPr="006E3145" w:rsidRDefault="006E3145" w:rsidP="006E3145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A obra </w:t>
            </w:r>
            <w:r w:rsidRPr="006E3145">
              <w:rPr>
                <w:rFonts w:cs="Tahoma"/>
                <w:sz w:val="16"/>
                <w:szCs w:val="16"/>
              </w:rPr>
              <w:t>proporcionará uma infraestrutura de qualidade, tornando a via mais segura e adequad</w:t>
            </w:r>
            <w:r>
              <w:rPr>
                <w:rFonts w:cs="Tahoma"/>
                <w:sz w:val="16"/>
                <w:szCs w:val="16"/>
              </w:rPr>
              <w:t xml:space="preserve">a </w:t>
            </w:r>
            <w:r w:rsidRPr="006E3145">
              <w:rPr>
                <w:rFonts w:cs="Tahoma"/>
                <w:sz w:val="16"/>
                <w:szCs w:val="16"/>
              </w:rPr>
              <w:t>para o tráfego de veículos, pedestres, ciclistas, etc.</w:t>
            </w:r>
            <w:r>
              <w:rPr>
                <w:rFonts w:cs="Tahoma"/>
                <w:sz w:val="16"/>
                <w:szCs w:val="16"/>
              </w:rPr>
              <w:t xml:space="preserve"> Sabe-se ainda, que um</w:t>
            </w:r>
            <w:r w:rsidRPr="006E3145">
              <w:rPr>
                <w:rFonts w:cs="Tahoma"/>
                <w:sz w:val="16"/>
                <w:szCs w:val="16"/>
              </w:rPr>
              <w:t>a rua em boas condições de tráfego é fundamental par</w:t>
            </w:r>
            <w:r>
              <w:rPr>
                <w:rFonts w:cs="Tahoma"/>
                <w:sz w:val="16"/>
                <w:szCs w:val="16"/>
              </w:rPr>
              <w:t xml:space="preserve">a </w:t>
            </w:r>
            <w:r w:rsidRPr="006E3145">
              <w:rPr>
                <w:rFonts w:cs="Tahoma"/>
                <w:sz w:val="16"/>
                <w:szCs w:val="16"/>
              </w:rPr>
              <w:t>garantir uma experiência positiva aos turistas que visitam ou passam pela cidade</w:t>
            </w:r>
            <w:r>
              <w:rPr>
                <w:rFonts w:cs="Tahoma"/>
                <w:sz w:val="16"/>
                <w:szCs w:val="16"/>
              </w:rPr>
              <w:t>, aumentando o número destes</w:t>
            </w:r>
            <w:r w:rsidRPr="006E3145">
              <w:rPr>
                <w:rFonts w:cs="Tahoma"/>
                <w:sz w:val="16"/>
                <w:szCs w:val="16"/>
              </w:rPr>
              <w:t xml:space="preserve">, </w:t>
            </w:r>
            <w:r>
              <w:rPr>
                <w:rFonts w:cs="Tahoma"/>
                <w:sz w:val="16"/>
                <w:szCs w:val="16"/>
              </w:rPr>
              <w:t xml:space="preserve">e consequentemente </w:t>
            </w:r>
            <w:r w:rsidRPr="006E3145">
              <w:rPr>
                <w:rFonts w:cs="Tahoma"/>
                <w:sz w:val="16"/>
                <w:szCs w:val="16"/>
              </w:rPr>
              <w:t>contribuindo para a economia local.</w:t>
            </w:r>
          </w:p>
          <w:p w14:paraId="59C55FF8" w14:textId="28DB05E6" w:rsidR="006E3145" w:rsidRPr="006E3145" w:rsidRDefault="006E3145" w:rsidP="006E3145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Por fim, a obra irá </w:t>
            </w:r>
            <w:r w:rsidRPr="006E3145">
              <w:rPr>
                <w:rFonts w:cs="Tahoma"/>
                <w:sz w:val="16"/>
                <w:szCs w:val="16"/>
              </w:rPr>
              <w:t>restaura</w:t>
            </w:r>
            <w:r>
              <w:rPr>
                <w:rFonts w:cs="Tahoma"/>
                <w:sz w:val="16"/>
                <w:szCs w:val="16"/>
              </w:rPr>
              <w:t>r</w:t>
            </w:r>
            <w:r w:rsidRPr="006E3145">
              <w:rPr>
                <w:rFonts w:cs="Tahoma"/>
                <w:sz w:val="16"/>
                <w:szCs w:val="16"/>
              </w:rPr>
              <w:t xml:space="preserve"> a superfície da rua</w:t>
            </w:r>
            <w:r>
              <w:rPr>
                <w:rFonts w:cs="Tahoma"/>
                <w:sz w:val="16"/>
                <w:szCs w:val="16"/>
              </w:rPr>
              <w:t xml:space="preserve">, </w:t>
            </w:r>
            <w:r w:rsidRPr="006E3145">
              <w:rPr>
                <w:rFonts w:cs="Tahoma"/>
                <w:sz w:val="16"/>
                <w:szCs w:val="16"/>
              </w:rPr>
              <w:t>corrigindo patologias e garantindo sua durabilidade a longo prazo. Isso reduzirá a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>necessidade de reparos frequentes e minimizará os custos de manutenção para o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>Município no futuro.</w:t>
            </w:r>
          </w:p>
        </w:tc>
      </w:tr>
    </w:tbl>
    <w:p w14:paraId="7D7AE9E6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EC6909D" w14:textId="77777777" w:rsidTr="007F065B">
        <w:tc>
          <w:tcPr>
            <w:tcW w:w="10201" w:type="dxa"/>
          </w:tcPr>
          <w:p w14:paraId="6F6C09F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8 – JUSTIFICATIVA PARA PARCELAMENTO</w:t>
            </w:r>
          </w:p>
        </w:tc>
      </w:tr>
      <w:tr w:rsidR="008F76F3" w:rsidRPr="008F76F3" w14:paraId="09D7985E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8F76F3" w14:paraId="3E75C34B" w14:textId="77777777" w:rsidTr="007F065B">
        <w:tc>
          <w:tcPr>
            <w:tcW w:w="10201" w:type="dxa"/>
          </w:tcPr>
          <w:p w14:paraId="2EFD175B" w14:textId="201243C1" w:rsidR="008F76F3" w:rsidRPr="000239C2" w:rsidRDefault="000239C2" w:rsidP="00B862D0">
            <w:pPr>
              <w:spacing w:line="276" w:lineRule="auto"/>
              <w:ind w:firstLine="306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 xml:space="preserve">A realização do presente processo licitatório deverá seguir como critério o menor preço global, tendo em vista a empreitada global da obra. </w:t>
            </w:r>
          </w:p>
        </w:tc>
      </w:tr>
    </w:tbl>
    <w:p w14:paraId="46D1E7CB" w14:textId="77777777" w:rsidR="008F76F3" w:rsidRPr="008F76F3" w:rsidRDefault="008F76F3" w:rsidP="008F76F3">
      <w:pPr>
        <w:spacing w:after="0" w:line="276" w:lineRule="auto"/>
        <w:rPr>
          <w:rFonts w:cs="Tahoma"/>
          <w:b/>
          <w:bCs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4EBDFB55" w14:textId="77777777" w:rsidTr="007F065B">
        <w:tc>
          <w:tcPr>
            <w:tcW w:w="10201" w:type="dxa"/>
          </w:tcPr>
          <w:p w14:paraId="7DB61E86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9 - DEMONSTRATIVO DOS RESULTADOS PRETENDIDOS</w:t>
            </w:r>
          </w:p>
        </w:tc>
      </w:tr>
      <w:tr w:rsidR="008F76F3" w:rsidRPr="008F76F3" w14:paraId="197EBD8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95FC11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Demonstrativo dos resultados pretendidos em termos de economicidade e de melhor aproveitamento dos recursos humanos, materiais e financeiros disponíveis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IX do § 1° do art. 18 da Lei 14.133/21); </w:t>
            </w:r>
          </w:p>
        </w:tc>
      </w:tr>
      <w:tr w:rsidR="008F76F3" w:rsidRPr="008F76F3" w14:paraId="01B06BA0" w14:textId="77777777" w:rsidTr="007F065B">
        <w:tc>
          <w:tcPr>
            <w:tcW w:w="10201" w:type="dxa"/>
          </w:tcPr>
          <w:p w14:paraId="2E39FD1F" w14:textId="4835770B" w:rsidR="008F76F3" w:rsidRPr="006E3145" w:rsidRDefault="006E3145" w:rsidP="006E314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6E3145">
              <w:rPr>
                <w:rFonts w:cs="Tahoma"/>
                <w:sz w:val="16"/>
                <w:szCs w:val="16"/>
              </w:rPr>
              <w:t xml:space="preserve">Pretende-se, com o presente processo, assegurar a seleção da proposta apta a gerar </w:t>
            </w:r>
            <w:r w:rsidR="00B862D0" w:rsidRPr="006E3145">
              <w:rPr>
                <w:rFonts w:cs="Tahoma"/>
                <w:sz w:val="16"/>
                <w:szCs w:val="16"/>
              </w:rPr>
              <w:t>a contratação</w:t>
            </w:r>
            <w:r w:rsidRPr="006E3145">
              <w:rPr>
                <w:rFonts w:cs="Tahoma"/>
                <w:sz w:val="16"/>
                <w:szCs w:val="16"/>
              </w:rPr>
              <w:t xml:space="preserve"> mais vantajosa para o Município, e da mesma forma conseguir atender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>todas as necessidades da Administração, já explanadas.</w:t>
            </w:r>
          </w:p>
        </w:tc>
      </w:tr>
    </w:tbl>
    <w:p w14:paraId="5284EC27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3675C491" w14:textId="77777777" w:rsidTr="007F065B">
        <w:tc>
          <w:tcPr>
            <w:tcW w:w="10201" w:type="dxa"/>
          </w:tcPr>
          <w:p w14:paraId="506464A4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10 – PROVIDÊNCIAS PRÉVIAS AO CONTRATO</w:t>
            </w:r>
          </w:p>
        </w:tc>
      </w:tr>
      <w:tr w:rsidR="008F76F3" w:rsidRPr="008F76F3" w14:paraId="0577C84C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5F02B21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8F76F3" w14:paraId="788C998C" w14:textId="77777777" w:rsidTr="007F065B">
        <w:tc>
          <w:tcPr>
            <w:tcW w:w="10201" w:type="dxa"/>
          </w:tcPr>
          <w:p w14:paraId="5F4BC334" w14:textId="52865003" w:rsidR="008F76F3" w:rsidRPr="008F76F3" w:rsidRDefault="006E3145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E3145">
              <w:rPr>
                <w:rFonts w:cs="Tahoma"/>
                <w:sz w:val="16"/>
                <w:szCs w:val="16"/>
              </w:rPr>
              <w:t xml:space="preserve">Não </w:t>
            </w:r>
            <w:r>
              <w:rPr>
                <w:rFonts w:cs="Tahoma"/>
                <w:sz w:val="16"/>
                <w:szCs w:val="16"/>
              </w:rPr>
              <w:t>foram identificadas</w:t>
            </w:r>
            <w:r w:rsidRPr="006E3145">
              <w:rPr>
                <w:rFonts w:cs="Tahoma"/>
                <w:sz w:val="16"/>
                <w:szCs w:val="16"/>
              </w:rPr>
              <w:t xml:space="preserve"> providências prévias a serem tomadas anteriormente ao contrato.</w:t>
            </w:r>
          </w:p>
        </w:tc>
      </w:tr>
    </w:tbl>
    <w:p w14:paraId="44EB9322" w14:textId="77777777" w:rsidR="008F76F3" w:rsidRPr="008F76F3" w:rsidRDefault="008F76F3" w:rsidP="008F76F3">
      <w:pPr>
        <w:spacing w:after="0" w:line="276" w:lineRule="auto"/>
        <w:rPr>
          <w:rFonts w:cs="Tahoma"/>
          <w:color w:val="FF0000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15B6EF4" w14:textId="77777777" w:rsidTr="007F065B">
        <w:tc>
          <w:tcPr>
            <w:tcW w:w="10201" w:type="dxa"/>
          </w:tcPr>
          <w:p w14:paraId="1C78622F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11 – CONTRATAÇÕES CORRELATAS/INTERDEPENDENTES</w:t>
            </w:r>
          </w:p>
        </w:tc>
      </w:tr>
      <w:tr w:rsidR="008F76F3" w:rsidRPr="008F76F3" w14:paraId="455DD9E4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3BBC643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8F76F3" w14:paraId="1A83E025" w14:textId="77777777" w:rsidTr="007F065B">
        <w:tc>
          <w:tcPr>
            <w:tcW w:w="10201" w:type="dxa"/>
          </w:tcPr>
          <w:p w14:paraId="3C7CCAFB" w14:textId="30469156" w:rsidR="008F76F3" w:rsidRPr="008F76F3" w:rsidRDefault="006E3145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6E3145">
              <w:rPr>
                <w:rFonts w:cs="Tahoma"/>
                <w:sz w:val="16"/>
                <w:szCs w:val="16"/>
              </w:rPr>
              <w:t>Este estudo não identificou a necessidade de realizar contratações acessórias para a perfeita execução do objeto, uma vez que todos os meios necessários para a aquisição podem ser supridos apenas com a contratação ora proposta.</w:t>
            </w:r>
          </w:p>
        </w:tc>
      </w:tr>
    </w:tbl>
    <w:p w14:paraId="503AA091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3D90EBFB" w14:textId="77777777" w:rsidTr="007F065B">
        <w:tc>
          <w:tcPr>
            <w:tcW w:w="10201" w:type="dxa"/>
          </w:tcPr>
          <w:p w14:paraId="742EAC3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12 – IMPACTOS AMBIENTAIS</w:t>
            </w:r>
          </w:p>
        </w:tc>
      </w:tr>
      <w:tr w:rsidR="008F76F3" w:rsidRPr="008F76F3" w14:paraId="22D5FB8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BB9D2B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inciso XII do § 1° do art. 18 da Lei 14.133/21);</w:t>
            </w:r>
          </w:p>
        </w:tc>
      </w:tr>
      <w:tr w:rsidR="008F76F3" w:rsidRPr="008F76F3" w14:paraId="0DDD108A" w14:textId="77777777" w:rsidTr="007F065B">
        <w:tc>
          <w:tcPr>
            <w:tcW w:w="10201" w:type="dxa"/>
          </w:tcPr>
          <w:p w14:paraId="7B942ED8" w14:textId="77777777" w:rsidR="00B862D0" w:rsidRPr="00B862D0" w:rsidRDefault="00B862D0" w:rsidP="00B862D0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862D0">
              <w:rPr>
                <w:rFonts w:cs="Tahoma"/>
                <w:sz w:val="16"/>
                <w:szCs w:val="16"/>
              </w:rPr>
              <w:t>Não foram identificados impactos ambientais inerentes a contratação proposta.</w:t>
            </w:r>
          </w:p>
          <w:p w14:paraId="4F2F57C3" w14:textId="2B6580D6" w:rsidR="00B862D0" w:rsidRPr="00B862D0" w:rsidRDefault="00B862D0" w:rsidP="00B862D0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862D0">
              <w:rPr>
                <w:rFonts w:cs="Tahoma"/>
                <w:sz w:val="16"/>
                <w:szCs w:val="16"/>
              </w:rPr>
              <w:t>Os entulhos e resíduos gerados pelas obras em questão deverão ser recolhidos 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B862D0">
              <w:rPr>
                <w:rFonts w:cs="Tahoma"/>
                <w:sz w:val="16"/>
                <w:szCs w:val="16"/>
              </w:rPr>
              <w:t>destinados pela empresa contratada conforme previsão em termo de Licenciamento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B862D0">
              <w:rPr>
                <w:rFonts w:cs="Tahoma"/>
                <w:sz w:val="16"/>
                <w:szCs w:val="16"/>
              </w:rPr>
              <w:t>Ambiental ou termo de Isenção do mesmo.</w:t>
            </w:r>
          </w:p>
          <w:p w14:paraId="061FD28D" w14:textId="34BD7273" w:rsidR="008F76F3" w:rsidRPr="00B862D0" w:rsidRDefault="00B862D0" w:rsidP="00B862D0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862D0">
              <w:rPr>
                <w:rFonts w:cs="Tahoma"/>
                <w:sz w:val="16"/>
                <w:szCs w:val="16"/>
              </w:rPr>
              <w:t>Indica-se que este processo de contratação seja submetido à Secretaria de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B862D0">
              <w:rPr>
                <w:rFonts w:cs="Tahoma"/>
                <w:sz w:val="16"/>
                <w:szCs w:val="16"/>
              </w:rPr>
              <w:t>Agricultura e Meio Ambiente para fins de que analise a necessidade de emissão de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B862D0">
              <w:rPr>
                <w:rFonts w:cs="Tahoma"/>
                <w:sz w:val="16"/>
                <w:szCs w:val="16"/>
              </w:rPr>
              <w:t>Licenciamento Ambiental ou Termo de Isenção.</w:t>
            </w:r>
          </w:p>
        </w:tc>
      </w:tr>
    </w:tbl>
    <w:p w14:paraId="74D04324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DAC76C7" w14:textId="77777777" w:rsidTr="007F065B">
        <w:tc>
          <w:tcPr>
            <w:tcW w:w="10201" w:type="dxa"/>
          </w:tcPr>
          <w:p w14:paraId="74ACA114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13 – VIABILIDADE DA CONTRATAÇÃO</w:t>
            </w:r>
          </w:p>
        </w:tc>
      </w:tr>
      <w:tr w:rsidR="008F76F3" w:rsidRPr="008F76F3" w14:paraId="72CA4F4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8F76F3" w14:paraId="56CC54A4" w14:textId="77777777" w:rsidTr="007F065B">
        <w:tc>
          <w:tcPr>
            <w:tcW w:w="10201" w:type="dxa"/>
          </w:tcPr>
          <w:p w14:paraId="56500493" w14:textId="4D5B4628" w:rsidR="008F76F3" w:rsidRPr="008F76F3" w:rsidRDefault="0003791A" w:rsidP="00B862D0">
            <w:pPr>
              <w:spacing w:line="276" w:lineRule="auto"/>
              <w:ind w:firstLine="306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Com base na justificativa apresentada, descrição da necessidade, estimativa e requisitos dos itens, além da importância da realização da contratação para viabilizar a implantação de pavimento da rua, visando garantir a segurança e o bem-estar dos munícipes e usuários que trafegam no trecho; conclui-se assim pela viabilidade da contratação.</w:t>
            </w:r>
          </w:p>
        </w:tc>
      </w:tr>
    </w:tbl>
    <w:p w14:paraId="35FD35AA" w14:textId="77777777" w:rsidR="00F732D3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3A7AD444" w14:textId="0E5F4901" w:rsidR="008F76F3" w:rsidRPr="008F76F3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F732D3">
        <w:rPr>
          <w:rFonts w:cs="Tahoma"/>
          <w:sz w:val="16"/>
          <w:szCs w:val="16"/>
        </w:rPr>
        <w:t xml:space="preserve">Imigrante, </w:t>
      </w:r>
      <w:r w:rsidR="00FE5DE0">
        <w:rPr>
          <w:rFonts w:cs="Tahoma"/>
          <w:sz w:val="16"/>
          <w:szCs w:val="16"/>
        </w:rPr>
        <w:t>17</w:t>
      </w:r>
      <w:r w:rsidRPr="00F732D3">
        <w:rPr>
          <w:rFonts w:cs="Tahoma"/>
          <w:sz w:val="16"/>
          <w:szCs w:val="16"/>
        </w:rPr>
        <w:t xml:space="preserve"> de </w:t>
      </w:r>
      <w:r w:rsidR="00FE5DE0">
        <w:rPr>
          <w:rFonts w:cs="Tahoma"/>
          <w:sz w:val="16"/>
          <w:szCs w:val="16"/>
        </w:rPr>
        <w:t>março</w:t>
      </w:r>
      <w:r w:rsidRPr="00F732D3">
        <w:rPr>
          <w:rFonts w:cs="Tahoma"/>
          <w:sz w:val="16"/>
          <w:szCs w:val="16"/>
        </w:rPr>
        <w:t xml:space="preserve"> de 2025</w:t>
      </w:r>
    </w:p>
    <w:p w14:paraId="2C468F30" w14:textId="77777777" w:rsidR="00F732D3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00D22C87" w14:textId="77777777" w:rsidR="00917D10" w:rsidRPr="008F76F3" w:rsidRDefault="00917D10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067"/>
      </w:tblGrid>
      <w:tr w:rsidR="00F732D3" w14:paraId="1A8BD1A8" w14:textId="77777777" w:rsidTr="00793301">
        <w:tc>
          <w:tcPr>
            <w:tcW w:w="6067" w:type="dxa"/>
            <w:tcBorders>
              <w:bottom w:val="single" w:sz="4" w:space="0" w:color="auto"/>
            </w:tcBorders>
            <w:shd w:val="clear" w:color="auto" w:fill="auto"/>
          </w:tcPr>
          <w:p w14:paraId="4790D6C3" w14:textId="77777777" w:rsidR="00F732D3" w:rsidRDefault="00F732D3" w:rsidP="00793301">
            <w:pPr>
              <w:tabs>
                <w:tab w:val="left" w:pos="1935"/>
              </w:tabs>
              <w:ind w:left="-142" w:firstLine="0"/>
            </w:pPr>
          </w:p>
        </w:tc>
      </w:tr>
      <w:tr w:rsidR="00F732D3" w:rsidRPr="00FD56DE" w14:paraId="18113C13" w14:textId="77777777" w:rsidTr="00793301">
        <w:tc>
          <w:tcPr>
            <w:tcW w:w="6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F6D335" w14:textId="77777777" w:rsidR="00F732D3" w:rsidRPr="00FD56DE" w:rsidRDefault="00F732D3" w:rsidP="00793301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FABIANO ACADROLI</w:t>
            </w:r>
          </w:p>
        </w:tc>
      </w:tr>
      <w:tr w:rsidR="00F732D3" w14:paraId="513A8FFC" w14:textId="77777777" w:rsidTr="00793301">
        <w:tc>
          <w:tcPr>
            <w:tcW w:w="6067" w:type="dxa"/>
            <w:shd w:val="clear" w:color="auto" w:fill="auto"/>
            <w:vAlign w:val="center"/>
          </w:tcPr>
          <w:p w14:paraId="205AAA0E" w14:textId="13A54DB7" w:rsidR="00F732D3" w:rsidRPr="00291F02" w:rsidRDefault="00F732D3" w:rsidP="00291F02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Secretário Municipal de Obras e Mobilidade Urbana</w:t>
            </w:r>
          </w:p>
        </w:tc>
      </w:tr>
    </w:tbl>
    <w:p w14:paraId="186E9E46" w14:textId="77777777" w:rsidR="00F732D3" w:rsidRDefault="00F732D3" w:rsidP="00F732D3">
      <w:pPr>
        <w:spacing w:after="0"/>
        <w:jc w:val="center"/>
      </w:pPr>
    </w:p>
    <w:p w14:paraId="6A76CAA2" w14:textId="77777777" w:rsidR="00917D10" w:rsidRPr="008F76F3" w:rsidRDefault="00917D10" w:rsidP="00F732D3">
      <w:pPr>
        <w:spacing w:after="0"/>
        <w:jc w:val="center"/>
      </w:pPr>
    </w:p>
    <w:sectPr w:rsidR="00917D10" w:rsidRPr="008F76F3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9D112" w14:textId="77777777" w:rsidR="00700112" w:rsidRDefault="00700112" w:rsidP="009F2D5E">
      <w:pPr>
        <w:spacing w:after="0"/>
      </w:pPr>
      <w:r>
        <w:separator/>
      </w:r>
    </w:p>
  </w:endnote>
  <w:endnote w:type="continuationSeparator" w:id="0">
    <w:p w14:paraId="475FD06D" w14:textId="77777777" w:rsidR="00700112" w:rsidRDefault="0070011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4AD3E" w14:textId="77777777" w:rsidR="00700112" w:rsidRDefault="00700112" w:rsidP="009F2D5E">
      <w:pPr>
        <w:spacing w:after="0"/>
      </w:pPr>
      <w:r>
        <w:separator/>
      </w:r>
    </w:p>
  </w:footnote>
  <w:footnote w:type="continuationSeparator" w:id="0">
    <w:p w14:paraId="47F0A973" w14:textId="77777777" w:rsidR="00700112" w:rsidRDefault="0070011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3932663">
    <w:abstractNumId w:val="7"/>
  </w:num>
  <w:num w:numId="2" w16cid:durableId="712851960">
    <w:abstractNumId w:val="9"/>
  </w:num>
  <w:num w:numId="3" w16cid:durableId="1049182862">
    <w:abstractNumId w:val="8"/>
  </w:num>
  <w:num w:numId="4" w16cid:durableId="1936327263">
    <w:abstractNumId w:val="2"/>
  </w:num>
  <w:num w:numId="5" w16cid:durableId="1164466457">
    <w:abstractNumId w:val="0"/>
  </w:num>
  <w:num w:numId="6" w16cid:durableId="581988356">
    <w:abstractNumId w:val="13"/>
  </w:num>
  <w:num w:numId="7" w16cid:durableId="1001155179">
    <w:abstractNumId w:val="17"/>
  </w:num>
  <w:num w:numId="8" w16cid:durableId="991061959">
    <w:abstractNumId w:val="14"/>
  </w:num>
  <w:num w:numId="9" w16cid:durableId="939139979">
    <w:abstractNumId w:val="18"/>
  </w:num>
  <w:num w:numId="10" w16cid:durableId="1445078854">
    <w:abstractNumId w:val="11"/>
  </w:num>
  <w:num w:numId="11" w16cid:durableId="1148084689">
    <w:abstractNumId w:val="16"/>
  </w:num>
  <w:num w:numId="12" w16cid:durableId="2074160330">
    <w:abstractNumId w:val="5"/>
  </w:num>
  <w:num w:numId="13" w16cid:durableId="127482004">
    <w:abstractNumId w:val="3"/>
  </w:num>
  <w:num w:numId="14" w16cid:durableId="11539740">
    <w:abstractNumId w:val="15"/>
  </w:num>
  <w:num w:numId="15" w16cid:durableId="657923923">
    <w:abstractNumId w:val="12"/>
  </w:num>
  <w:num w:numId="16" w16cid:durableId="1251547696">
    <w:abstractNumId w:val="4"/>
  </w:num>
  <w:num w:numId="17" w16cid:durableId="1130368059">
    <w:abstractNumId w:val="6"/>
  </w:num>
  <w:num w:numId="18" w16cid:durableId="1639262058">
    <w:abstractNumId w:val="10"/>
  </w:num>
  <w:num w:numId="19" w16cid:durableId="107998650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39C2"/>
    <w:rsid w:val="0002484E"/>
    <w:rsid w:val="00025308"/>
    <w:rsid w:val="000263A4"/>
    <w:rsid w:val="00027CAC"/>
    <w:rsid w:val="0003344D"/>
    <w:rsid w:val="00033BD0"/>
    <w:rsid w:val="0003791A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33E2"/>
    <w:rsid w:val="00154C9D"/>
    <w:rsid w:val="001557BF"/>
    <w:rsid w:val="00155C57"/>
    <w:rsid w:val="0015778E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1F02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2E0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2353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45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0112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065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29C5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4F06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17D10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109"/>
    <w:rsid w:val="009822E6"/>
    <w:rsid w:val="0098255B"/>
    <w:rsid w:val="0098465A"/>
    <w:rsid w:val="009865D8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62D0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3897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2D3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5DE0"/>
    <w:rsid w:val="00FE6DC2"/>
    <w:rsid w:val="00FF1EE6"/>
    <w:rsid w:val="00FF22CE"/>
    <w:rsid w:val="00FF251B"/>
    <w:rsid w:val="00FF2B9C"/>
    <w:rsid w:val="00FF3447"/>
    <w:rsid w:val="00FF3466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1589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10</cp:revision>
  <cp:lastPrinted>2022-12-15T19:17:00Z</cp:lastPrinted>
  <dcterms:created xsi:type="dcterms:W3CDTF">2024-01-26T17:02:00Z</dcterms:created>
  <dcterms:modified xsi:type="dcterms:W3CDTF">2025-04-14T18:23:00Z</dcterms:modified>
</cp:coreProperties>
</file>